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89" w:rsidRPr="007D51D1" w:rsidRDefault="00E41A89" w:rsidP="00E41A89">
      <w:pPr>
        <w:spacing w:after="0" w:line="360" w:lineRule="auto"/>
        <w:ind w:firstLine="851"/>
        <w:jc w:val="center"/>
        <w:rPr>
          <w:rFonts w:cs="Times New Roman"/>
          <w:b/>
          <w:sz w:val="28"/>
          <w:szCs w:val="28"/>
        </w:rPr>
      </w:pPr>
      <w:r w:rsidRPr="000433B3">
        <w:rPr>
          <w:rFonts w:cs="Times New Roman"/>
          <w:b/>
          <w:sz w:val="28"/>
          <w:szCs w:val="28"/>
        </w:rPr>
        <w:t>Итоги Единой горячей линии Кадастровой палаты</w:t>
      </w:r>
    </w:p>
    <w:p w:rsidR="00E41A89" w:rsidRDefault="00E41A89" w:rsidP="00E41A89">
      <w:pPr>
        <w:spacing w:after="0" w:line="36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>В рамках Единой горячей линии 28 июня специалисты отдела обеспечения ведения ЕГРН Кадастровой палаты по Новосибирской области ответили на вопросы граждан. Представляем ответы на некоторые из вопросов.</w:t>
      </w:r>
    </w:p>
    <w:p w:rsidR="00E41A89" w:rsidRPr="00BC7034" w:rsidRDefault="00E41A89" w:rsidP="00E41A89">
      <w:pPr>
        <w:spacing w:after="0" w:line="360" w:lineRule="auto"/>
        <w:ind w:firstLine="851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C7034">
        <w:rPr>
          <w:rFonts w:cs="Times New Roman"/>
          <w:i/>
          <w:sz w:val="24"/>
          <w:szCs w:val="24"/>
        </w:rPr>
        <w:t>Как выделить свою долю в жилом доме и на расположенном под домом земельном участке, если они находятся в общей долевой собственности?</w:t>
      </w:r>
    </w:p>
    <w:p w:rsidR="00E41A89" w:rsidRPr="00BC7034" w:rsidRDefault="00E41A89" w:rsidP="00E41A8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C7034">
        <w:rPr>
          <w:rFonts w:cs="Times New Roman"/>
          <w:sz w:val="24"/>
          <w:szCs w:val="24"/>
        </w:rPr>
        <w:t xml:space="preserve"> Выделение доли в жилом доме возможно только в результате его реконструкции  (возведение общей стены и отдельного выхода) и преобразования жилого дома в многоквартирный дом, что само по себе является трудоемким и растянутым по времени процессом (получение разрешения на реконструкцию объекта, затем разрешения на ввод объекта в эксплуатацию и т.д.). При этом правообладатель сталкивается с проблемой несоответствия назначения дома (многоквартирный дом) и разрешенного использования земельного участка (индивидуальное </w:t>
      </w:r>
      <w:proofErr w:type="gramStart"/>
      <w:r w:rsidRPr="00BC7034">
        <w:rPr>
          <w:rFonts w:cs="Times New Roman"/>
          <w:sz w:val="24"/>
          <w:szCs w:val="24"/>
        </w:rPr>
        <w:t>жилое строительство</w:t>
      </w:r>
      <w:proofErr w:type="gramEnd"/>
      <w:r w:rsidRPr="00BC7034">
        <w:rPr>
          <w:rFonts w:cs="Times New Roman"/>
          <w:sz w:val="24"/>
          <w:szCs w:val="24"/>
        </w:rPr>
        <w:t xml:space="preserve">), что является препятствием постановки на  кадастровый учет преобразованного объекта недвижимости (многоквартирного дома). </w:t>
      </w:r>
    </w:p>
    <w:p w:rsidR="00E41A89" w:rsidRPr="00BC7034" w:rsidRDefault="00E41A89" w:rsidP="00E41A89">
      <w:pPr>
        <w:widowControl w:val="0"/>
        <w:autoSpaceDE w:val="0"/>
        <w:autoSpaceDN w:val="0"/>
        <w:adjustRightInd w:val="0"/>
        <w:spacing w:after="0" w:line="360" w:lineRule="auto"/>
        <w:ind w:firstLine="851"/>
        <w:jc w:val="both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В </w:t>
      </w:r>
      <w:r w:rsidRPr="00BC7034">
        <w:rPr>
          <w:rFonts w:cs="Times New Roman"/>
          <w:sz w:val="24"/>
          <w:szCs w:val="24"/>
        </w:rPr>
        <w:t>соответствии с Жилищн</w:t>
      </w:r>
      <w:r>
        <w:rPr>
          <w:rFonts w:cs="Times New Roman"/>
          <w:sz w:val="24"/>
          <w:szCs w:val="24"/>
        </w:rPr>
        <w:t xml:space="preserve">ым </w:t>
      </w:r>
      <w:r w:rsidRPr="00BC7034">
        <w:rPr>
          <w:rFonts w:cs="Times New Roman"/>
          <w:sz w:val="24"/>
          <w:szCs w:val="24"/>
        </w:rPr>
        <w:t>кодекс</w:t>
      </w:r>
      <w:r>
        <w:rPr>
          <w:rFonts w:cs="Times New Roman"/>
          <w:sz w:val="24"/>
          <w:szCs w:val="24"/>
        </w:rPr>
        <w:t>ом</w:t>
      </w:r>
      <w:r w:rsidRPr="00BC7034">
        <w:rPr>
          <w:rFonts w:cs="Times New Roman"/>
          <w:sz w:val="24"/>
          <w:szCs w:val="24"/>
        </w:rPr>
        <w:t xml:space="preserve"> РФ собственник помещения в многоквартирном доме не вправе осуществлять выдел в натуре своей доли в праве общей собственности на общее имущество (земельный участок является общим имуществом) в многоквартирном доме.</w:t>
      </w:r>
    </w:p>
    <w:p w:rsidR="00E41A89" w:rsidRPr="00BC7034" w:rsidRDefault="00E41A89" w:rsidP="00E41A89">
      <w:pPr>
        <w:pStyle w:val="3"/>
        <w:spacing w:line="360" w:lineRule="auto"/>
        <w:ind w:firstLine="851"/>
        <w:rPr>
          <w:rFonts w:asciiTheme="minorHAnsi" w:hAnsiTheme="minorHAnsi"/>
          <w:sz w:val="24"/>
          <w:szCs w:val="24"/>
        </w:rPr>
      </w:pPr>
      <w:r w:rsidRPr="00BC7034">
        <w:rPr>
          <w:rFonts w:asciiTheme="minorHAnsi" w:hAnsiTheme="minorHAnsi"/>
          <w:sz w:val="24"/>
          <w:szCs w:val="24"/>
        </w:rPr>
        <w:t xml:space="preserve">Таким образом, осуществление выдела доли в жилом доме и на расположенном под домом земельном участке согласно действующему законодательству реализовать невозможно. </w:t>
      </w:r>
    </w:p>
    <w:p w:rsidR="00E41A89" w:rsidRPr="00BC7034" w:rsidRDefault="00E41A89" w:rsidP="00E41A89">
      <w:pPr>
        <w:spacing w:after="0" w:line="360" w:lineRule="auto"/>
        <w:ind w:firstLine="851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C7034">
        <w:rPr>
          <w:rFonts w:cs="Times New Roman"/>
          <w:sz w:val="24"/>
          <w:szCs w:val="24"/>
        </w:rPr>
        <w:t xml:space="preserve"> </w:t>
      </w:r>
      <w:r w:rsidRPr="00BC7034">
        <w:rPr>
          <w:rFonts w:cs="Times New Roman"/>
          <w:i/>
          <w:sz w:val="24"/>
          <w:szCs w:val="24"/>
        </w:rPr>
        <w:t xml:space="preserve">На территории садоводческого некоммерческого товарищества (СНТ) в 2014 году поставлен на кадастровый учет  объект недвижимости с назначением «жилое строение», право на объект зарегистрировано. </w:t>
      </w:r>
      <w:proofErr w:type="gramStart"/>
      <w:r w:rsidRPr="00BC7034">
        <w:rPr>
          <w:rFonts w:cs="Times New Roman"/>
          <w:i/>
          <w:sz w:val="24"/>
          <w:szCs w:val="24"/>
        </w:rPr>
        <w:t>Не были ли внесены</w:t>
      </w:r>
      <w:r>
        <w:rPr>
          <w:rFonts w:cs="Times New Roman"/>
          <w:i/>
          <w:sz w:val="24"/>
          <w:szCs w:val="24"/>
        </w:rPr>
        <w:t xml:space="preserve"> изменения в законодательство</w:t>
      </w:r>
      <w:r w:rsidRPr="00BC7034">
        <w:rPr>
          <w:rFonts w:cs="Times New Roman"/>
          <w:i/>
          <w:sz w:val="24"/>
          <w:szCs w:val="24"/>
        </w:rPr>
        <w:t xml:space="preserve"> в отношении объектов недвижимости, имеющим подобное назначение, расположенных в границах СНТ?</w:t>
      </w:r>
      <w:proofErr w:type="gramEnd"/>
    </w:p>
    <w:p w:rsidR="00E41A89" w:rsidRPr="00BC7034" w:rsidRDefault="00E41A89" w:rsidP="00E41A89">
      <w:pPr>
        <w:spacing w:after="0" w:line="36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lastRenderedPageBreak/>
        <w:t xml:space="preserve">- </w:t>
      </w:r>
      <w:r w:rsidRPr="00BC7034">
        <w:rPr>
          <w:rFonts w:cs="Times New Roman"/>
          <w:sz w:val="24"/>
          <w:szCs w:val="24"/>
        </w:rPr>
        <w:t xml:space="preserve"> Действующее законодательство допускает постановку на кадастровый учет и регистрацию прав на объекты недвижимости с назначением «жилое строение», «жилой дом», расположенны</w:t>
      </w:r>
      <w:r>
        <w:rPr>
          <w:rFonts w:cs="Times New Roman"/>
          <w:sz w:val="24"/>
          <w:szCs w:val="24"/>
        </w:rPr>
        <w:t>е</w:t>
      </w:r>
      <w:r w:rsidRPr="00BC7034">
        <w:rPr>
          <w:rFonts w:cs="Times New Roman"/>
          <w:sz w:val="24"/>
          <w:szCs w:val="24"/>
        </w:rPr>
        <w:t xml:space="preserve"> в границах СНТ. </w:t>
      </w:r>
    </w:p>
    <w:p w:rsidR="00E41A89" w:rsidRPr="00BC7034" w:rsidRDefault="00E41A89" w:rsidP="00E41A89">
      <w:pPr>
        <w:spacing w:after="0" w:line="360" w:lineRule="auto"/>
        <w:ind w:firstLine="851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C7034">
        <w:rPr>
          <w:rFonts w:cs="Times New Roman"/>
          <w:sz w:val="24"/>
          <w:szCs w:val="24"/>
        </w:rPr>
        <w:t xml:space="preserve"> </w:t>
      </w:r>
      <w:r w:rsidRPr="00BC7034">
        <w:rPr>
          <w:rFonts w:cs="Times New Roman"/>
          <w:i/>
          <w:sz w:val="24"/>
          <w:szCs w:val="24"/>
        </w:rPr>
        <w:t>Куда можно обратиться с регистрацией прав на объект недвижимости?</w:t>
      </w:r>
    </w:p>
    <w:p w:rsidR="00E41A89" w:rsidRPr="00BC7034" w:rsidRDefault="00E41A89" w:rsidP="00E41A89">
      <w:pPr>
        <w:pStyle w:val="ConsPlusNormal"/>
        <w:spacing w:line="360" w:lineRule="auto"/>
        <w:ind w:firstLine="851"/>
        <w:jc w:val="both"/>
        <w:rPr>
          <w:rFonts w:asciiTheme="minorHAnsi" w:hAnsiTheme="minorHAnsi"/>
        </w:rPr>
      </w:pPr>
      <w:r>
        <w:rPr>
          <w:rFonts w:asciiTheme="minorHAnsi" w:hAnsiTheme="minorHAnsi"/>
        </w:rPr>
        <w:t>-</w:t>
      </w:r>
      <w:r w:rsidRPr="00BC7034">
        <w:rPr>
          <w:rFonts w:asciiTheme="minorHAnsi" w:hAnsiTheme="minorHAnsi"/>
        </w:rPr>
        <w:t xml:space="preserve"> С заявлением о регистрации прав на объект недвижимости можно обратиться в </w:t>
      </w:r>
      <w:r>
        <w:rPr>
          <w:rFonts w:asciiTheme="minorHAnsi" w:hAnsiTheme="minorHAnsi"/>
        </w:rPr>
        <w:t>любой офис центра «</w:t>
      </w:r>
      <w:hyperlink r:id="rId8" w:history="1">
        <w:r w:rsidRPr="00BC7034">
          <w:rPr>
            <w:rStyle w:val="a9"/>
            <w:rFonts w:asciiTheme="minorHAnsi" w:hAnsiTheme="minorHAnsi"/>
          </w:rPr>
          <w:t>Мои Документы</w:t>
        </w:r>
      </w:hyperlink>
      <w:r>
        <w:rPr>
          <w:rFonts w:asciiTheme="minorHAnsi" w:hAnsiTheme="minorHAnsi"/>
        </w:rPr>
        <w:t>»</w:t>
      </w:r>
      <w:r w:rsidRPr="00BC7034">
        <w:rPr>
          <w:rFonts w:asciiTheme="minorHAnsi" w:hAnsiTheme="minorHAnsi"/>
        </w:rPr>
        <w:t xml:space="preserve">, </w:t>
      </w:r>
      <w:r>
        <w:rPr>
          <w:rFonts w:asciiTheme="minorHAnsi" w:hAnsiTheme="minorHAnsi"/>
        </w:rPr>
        <w:t>а</w:t>
      </w:r>
      <w:r w:rsidRPr="00BC7034">
        <w:rPr>
          <w:rFonts w:asciiTheme="minorHAnsi" w:hAnsiTheme="minorHAnsi"/>
        </w:rPr>
        <w:t xml:space="preserve">дреса </w:t>
      </w:r>
      <w:r>
        <w:rPr>
          <w:rFonts w:asciiTheme="minorHAnsi" w:hAnsiTheme="minorHAnsi"/>
        </w:rPr>
        <w:t>офисов в регионе</w:t>
      </w:r>
      <w:r w:rsidRPr="00BC7034">
        <w:rPr>
          <w:rFonts w:asciiTheme="minorHAnsi" w:hAnsiTheme="minorHAnsi"/>
        </w:rPr>
        <w:t xml:space="preserve"> </w:t>
      </w:r>
      <w:r w:rsidRPr="00BC7034">
        <w:rPr>
          <w:rFonts w:asciiTheme="minorHAnsi" w:hAnsiTheme="minorHAnsi"/>
          <w:color w:val="000000" w:themeColor="text1"/>
        </w:rPr>
        <w:t>указаны на сайте</w:t>
      </w:r>
      <w:r>
        <w:rPr>
          <w:rFonts w:asciiTheme="minorHAnsi" w:hAnsiTheme="minorHAnsi"/>
          <w:color w:val="000000" w:themeColor="text1"/>
        </w:rPr>
        <w:t xml:space="preserve"> учреждения </w:t>
      </w:r>
      <w:r w:rsidRPr="00052139">
        <w:rPr>
          <w:rFonts w:asciiTheme="minorHAnsi" w:hAnsiTheme="minorHAnsi"/>
          <w:color w:val="000000" w:themeColor="text1"/>
        </w:rPr>
        <w:t>http://www.mfc-nso.ru/</w:t>
      </w:r>
      <w:r w:rsidRPr="00BC7034">
        <w:rPr>
          <w:rFonts w:asciiTheme="minorHAnsi" w:hAnsiTheme="minorHAnsi"/>
        </w:rPr>
        <w:t>.</w:t>
      </w:r>
    </w:p>
    <w:p w:rsidR="00E41A89" w:rsidRPr="00BC7034" w:rsidRDefault="00E41A89" w:rsidP="00E41A89">
      <w:pPr>
        <w:spacing w:after="0" w:line="360" w:lineRule="auto"/>
        <w:ind w:firstLine="851"/>
        <w:rPr>
          <w:rFonts w:cs="Times New Roman"/>
          <w:i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C7034">
        <w:rPr>
          <w:rFonts w:cs="Times New Roman"/>
          <w:sz w:val="24"/>
          <w:szCs w:val="24"/>
        </w:rPr>
        <w:t xml:space="preserve"> </w:t>
      </w:r>
      <w:r w:rsidRPr="00BC7034">
        <w:rPr>
          <w:rFonts w:cs="Times New Roman"/>
          <w:i/>
          <w:sz w:val="24"/>
          <w:szCs w:val="24"/>
        </w:rPr>
        <w:t xml:space="preserve">Сколько составляет госпошлина для регистрации прав на объект недвижимости, а также на выписку из </w:t>
      </w:r>
      <w:r>
        <w:rPr>
          <w:rFonts w:cs="Times New Roman"/>
          <w:i/>
          <w:sz w:val="24"/>
          <w:szCs w:val="24"/>
        </w:rPr>
        <w:t>ЕГРН</w:t>
      </w:r>
      <w:r w:rsidRPr="00BC7034">
        <w:rPr>
          <w:rFonts w:cs="Times New Roman"/>
          <w:i/>
          <w:sz w:val="24"/>
          <w:szCs w:val="24"/>
        </w:rPr>
        <w:t xml:space="preserve"> в форме бумажного</w:t>
      </w:r>
      <w:r>
        <w:rPr>
          <w:rFonts w:cs="Times New Roman"/>
          <w:i/>
          <w:sz w:val="24"/>
          <w:szCs w:val="24"/>
        </w:rPr>
        <w:t xml:space="preserve"> и </w:t>
      </w:r>
      <w:r w:rsidRPr="00BC7034">
        <w:rPr>
          <w:rFonts w:cs="Times New Roman"/>
          <w:i/>
          <w:sz w:val="24"/>
          <w:szCs w:val="24"/>
        </w:rPr>
        <w:t>электронного документ</w:t>
      </w:r>
      <w:r>
        <w:rPr>
          <w:rFonts w:cs="Times New Roman"/>
          <w:i/>
          <w:sz w:val="24"/>
          <w:szCs w:val="24"/>
        </w:rPr>
        <w:t>ов</w:t>
      </w:r>
      <w:r w:rsidRPr="00BC7034">
        <w:rPr>
          <w:rFonts w:cs="Times New Roman"/>
          <w:i/>
          <w:sz w:val="24"/>
          <w:szCs w:val="24"/>
        </w:rPr>
        <w:t>?</w:t>
      </w:r>
    </w:p>
    <w:p w:rsidR="00E41A89" w:rsidRPr="00BC7034" w:rsidRDefault="00E41A89" w:rsidP="00E41A89">
      <w:pPr>
        <w:spacing w:after="0" w:line="360" w:lineRule="auto"/>
        <w:ind w:firstLine="851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 xml:space="preserve">- </w:t>
      </w:r>
      <w:r w:rsidRPr="00BC7034">
        <w:rPr>
          <w:rFonts w:cs="Times New Roman"/>
          <w:sz w:val="24"/>
          <w:szCs w:val="24"/>
        </w:rPr>
        <w:t xml:space="preserve"> Размер госпошлины для регистрации прав на объект недвижимости зависит от вида объекта недвижимости и вида регистрируемого права.</w:t>
      </w:r>
    </w:p>
    <w:p w:rsidR="00E41A89" w:rsidRDefault="00E41A89" w:rsidP="00E41A89">
      <w:pPr>
        <w:spacing w:after="0" w:line="360" w:lineRule="auto"/>
        <w:ind w:firstLine="851"/>
        <w:rPr>
          <w:sz w:val="24"/>
          <w:szCs w:val="24"/>
        </w:rPr>
      </w:pPr>
      <w:r w:rsidRPr="007A7D52">
        <w:rPr>
          <w:sz w:val="24"/>
          <w:szCs w:val="24"/>
        </w:rPr>
        <w:t>Стоимость услуг по предоставлению сведений из ЕГРН</w:t>
      </w:r>
      <w:r>
        <w:rPr>
          <w:sz w:val="24"/>
          <w:szCs w:val="24"/>
        </w:rPr>
        <w:t xml:space="preserve"> варьируется в зависимости от вида предоставляемых документов, формы предоставления сведений</w:t>
      </w:r>
      <w:r w:rsidRPr="007A7D52">
        <w:rPr>
          <w:sz w:val="24"/>
          <w:szCs w:val="24"/>
        </w:rPr>
        <w:t>: от 3</w:t>
      </w:r>
      <w:r>
        <w:rPr>
          <w:sz w:val="24"/>
          <w:szCs w:val="24"/>
        </w:rPr>
        <w:t>0</w:t>
      </w:r>
      <w:r w:rsidRPr="007A7D52">
        <w:rPr>
          <w:sz w:val="24"/>
          <w:szCs w:val="24"/>
        </w:rPr>
        <w:t xml:space="preserve">0 рублей </w:t>
      </w:r>
      <w:r>
        <w:rPr>
          <w:sz w:val="24"/>
          <w:szCs w:val="24"/>
        </w:rPr>
        <w:t>в бумажном виде</w:t>
      </w:r>
      <w:r w:rsidRPr="007A7D52">
        <w:rPr>
          <w:sz w:val="24"/>
          <w:szCs w:val="24"/>
        </w:rPr>
        <w:t xml:space="preserve">, от </w:t>
      </w:r>
      <w:r>
        <w:rPr>
          <w:sz w:val="24"/>
          <w:szCs w:val="24"/>
        </w:rPr>
        <w:t>1</w:t>
      </w:r>
      <w:r w:rsidRPr="007A7D52">
        <w:rPr>
          <w:sz w:val="24"/>
          <w:szCs w:val="24"/>
        </w:rPr>
        <w:t xml:space="preserve">50 </w:t>
      </w:r>
      <w:r>
        <w:rPr>
          <w:sz w:val="24"/>
          <w:szCs w:val="24"/>
        </w:rPr>
        <w:t>рублей в электронном виде</w:t>
      </w:r>
      <w:r w:rsidRPr="007A7D52">
        <w:rPr>
          <w:sz w:val="24"/>
          <w:szCs w:val="24"/>
        </w:rPr>
        <w:t>.</w:t>
      </w:r>
      <w:r>
        <w:rPr>
          <w:sz w:val="24"/>
          <w:szCs w:val="24"/>
        </w:rPr>
        <w:t xml:space="preserve"> Также значение имеет, кем является заявитель: физическим или юридическим лицом. Полную информацию о стоимости услуг можно узнать на сайте </w:t>
      </w:r>
      <w:hyperlink r:id="rId9" w:history="1">
        <w:r w:rsidRPr="00E22E24">
          <w:rPr>
            <w:rStyle w:val="a9"/>
            <w:sz w:val="24"/>
            <w:szCs w:val="24"/>
          </w:rPr>
          <w:t>Росреестра</w:t>
        </w:r>
      </w:hyperlink>
      <w:r>
        <w:rPr>
          <w:sz w:val="24"/>
          <w:szCs w:val="24"/>
        </w:rPr>
        <w:t>.</w:t>
      </w:r>
    </w:p>
    <w:p w:rsidR="00E41A89" w:rsidRPr="00E41A89" w:rsidRDefault="00E41A89" w:rsidP="00E41A89">
      <w:pPr>
        <w:spacing w:after="0" w:line="360" w:lineRule="auto"/>
        <w:ind w:firstLine="851"/>
        <w:jc w:val="right"/>
        <w:rPr>
          <w:rFonts w:cs="Times New Roman"/>
          <w:i/>
          <w:sz w:val="20"/>
          <w:szCs w:val="20"/>
        </w:rPr>
      </w:pPr>
      <w:r w:rsidRPr="00E41A89">
        <w:rPr>
          <w:i/>
          <w:sz w:val="20"/>
          <w:szCs w:val="20"/>
        </w:rPr>
        <w:t>Материал предоставлен пресс-службой Кадастровой палаты по Новосибирской области.</w:t>
      </w:r>
    </w:p>
    <w:p w:rsidR="00A8510D" w:rsidRPr="00D82973" w:rsidRDefault="00A8510D" w:rsidP="00D82973">
      <w:pPr>
        <w:spacing w:after="0" w:line="240" w:lineRule="auto"/>
        <w:ind w:left="142"/>
        <w:jc w:val="both"/>
        <w:rPr>
          <w:sz w:val="18"/>
          <w:szCs w:val="18"/>
        </w:rPr>
      </w:pPr>
    </w:p>
    <w:sectPr w:rsidR="00A8510D" w:rsidRPr="00D82973" w:rsidSect="00B94D63">
      <w:headerReference w:type="even" r:id="rId10"/>
      <w:headerReference w:type="default" r:id="rId11"/>
      <w:footerReference w:type="default" r:id="rId12"/>
      <w:headerReference w:type="firs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7059D" w:rsidRDefault="00A7059D" w:rsidP="00A7059D">
      <w:pPr>
        <w:spacing w:after="0" w:line="240" w:lineRule="auto"/>
      </w:pPr>
      <w:r>
        <w:separator/>
      </w:r>
    </w:p>
  </w:endnote>
  <w:end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C740B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>
      <w:rPr>
        <w:rFonts w:eastAsia="Calibri" w:cs="Segoe UI"/>
        <w:sz w:val="17"/>
        <w:szCs w:val="17"/>
        <w:lang w:eastAsia="en-US"/>
      </w:rPr>
      <w:t>Контакты пресс-службы</w:t>
    </w:r>
  </w:p>
  <w:p w:rsidR="006C740B" w:rsidRDefault="002866C7" w:rsidP="006C740B">
    <w:pPr>
      <w:spacing w:after="0" w:line="240" w:lineRule="auto"/>
      <w:ind w:left="142" w:firstLine="284"/>
      <w:jc w:val="right"/>
      <w:rPr>
        <w:rFonts w:cs="Times New Roman"/>
        <w:sz w:val="17"/>
        <w:szCs w:val="17"/>
      </w:rPr>
    </w:pPr>
    <w:r>
      <w:rPr>
        <w:rFonts w:cs="Times New Roman"/>
        <w:sz w:val="17"/>
        <w:szCs w:val="17"/>
      </w:rPr>
      <w:t>Кадастровой палаты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cs="Times New Roman"/>
        <w:sz w:val="17"/>
        <w:szCs w:val="17"/>
      </w:rPr>
      <w:t>по Новосибирской области</w:t>
    </w:r>
    <w:r w:rsidRPr="00266DBD">
      <w:rPr>
        <w:rFonts w:eastAsia="Calibri" w:cs="Segoe UI"/>
        <w:sz w:val="17"/>
        <w:szCs w:val="17"/>
        <w:lang w:eastAsia="en-US"/>
      </w:rPr>
      <w:t>:</w:t>
    </w:r>
  </w:p>
  <w:p w:rsidR="006C740B" w:rsidRPr="00266DBD" w:rsidRDefault="006C740B" w:rsidP="006C740B">
    <w:pPr>
      <w:spacing w:after="0" w:line="240" w:lineRule="auto"/>
      <w:ind w:left="142" w:firstLine="284"/>
      <w:jc w:val="right"/>
      <w:rPr>
        <w:rFonts w:eastAsia="Calibri" w:cs="Segoe UI"/>
        <w:sz w:val="17"/>
        <w:szCs w:val="17"/>
        <w:lang w:eastAsia="en-US"/>
      </w:rPr>
    </w:pPr>
    <w:r w:rsidRPr="00266DBD">
      <w:rPr>
        <w:rFonts w:eastAsia="Calibri" w:cs="Segoe UI"/>
        <w:sz w:val="17"/>
        <w:szCs w:val="17"/>
        <w:lang w:eastAsia="en-US"/>
      </w:rPr>
      <w:t>(383) 347-59-49</w:t>
    </w:r>
  </w:p>
  <w:p w:rsidR="006C740B" w:rsidRPr="006C740B" w:rsidRDefault="00C50582" w:rsidP="006C740B">
    <w:pPr>
      <w:spacing w:after="0" w:line="240" w:lineRule="auto"/>
      <w:ind w:left="142" w:firstLine="284"/>
      <w:jc w:val="right"/>
      <w:rPr>
        <w:sz w:val="17"/>
        <w:szCs w:val="17"/>
      </w:rPr>
    </w:pPr>
    <w:hyperlink r:id="rId1" w:history="1">
      <w:r w:rsidR="001205AE" w:rsidRPr="005B5F9B">
        <w:rPr>
          <w:rStyle w:val="a9"/>
          <w:sz w:val="17"/>
          <w:szCs w:val="17"/>
          <w:lang w:val="en-US"/>
        </w:rPr>
        <w:t>press</w:t>
      </w:r>
      <w:r w:rsidR="001205AE" w:rsidRPr="005B5F9B">
        <w:rPr>
          <w:rStyle w:val="a9"/>
          <w:sz w:val="17"/>
          <w:szCs w:val="17"/>
        </w:rPr>
        <w:t>@54.</w:t>
      </w:r>
      <w:r w:rsidR="001205AE" w:rsidRPr="005B5F9B">
        <w:rPr>
          <w:rStyle w:val="a9"/>
          <w:sz w:val="17"/>
          <w:szCs w:val="17"/>
          <w:lang w:val="en-US"/>
        </w:rPr>
        <w:t>kadastr</w:t>
      </w:r>
      <w:r w:rsidR="001205AE" w:rsidRPr="005B5F9B">
        <w:rPr>
          <w:rStyle w:val="a9"/>
          <w:sz w:val="17"/>
          <w:szCs w:val="17"/>
        </w:rPr>
        <w:t>.</w:t>
      </w:r>
      <w:r w:rsidR="001205AE" w:rsidRPr="005B5F9B">
        <w:rPr>
          <w:rStyle w:val="a9"/>
          <w:sz w:val="17"/>
          <w:szCs w:val="17"/>
          <w:lang w:val="en-US"/>
        </w:rPr>
        <w:t>ru</w:t>
      </w:r>
    </w:hyperlink>
  </w:p>
  <w:p w:rsidR="00266DBD" w:rsidRDefault="00266DBD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7059D" w:rsidRDefault="00A7059D" w:rsidP="00A7059D">
      <w:pPr>
        <w:spacing w:after="0" w:line="240" w:lineRule="auto"/>
      </w:pPr>
      <w:r>
        <w:separator/>
      </w:r>
    </w:p>
  </w:footnote>
  <w:footnote w:type="continuationSeparator" w:id="0">
    <w:p w:rsidR="00A7059D" w:rsidRDefault="00A7059D" w:rsidP="00A705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5058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8" o:spid="_x0000_s2053" type="#_x0000_t75" style="position:absolute;margin-left:0;margin-top:0;width:467.65pt;height:454.85pt;z-index:-251657216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A415E" w:rsidRDefault="00A8510D">
    <w:pPr>
      <w:pStyle w:val="a3"/>
    </w:pPr>
    <w:r>
      <w:rPr>
        <w:noProof/>
        <w:lang w:eastAsia="ru-RU"/>
      </w:rPr>
      <w:drawing>
        <wp:inline distT="0" distB="0" distL="0" distR="0">
          <wp:extent cx="1940155" cy="790575"/>
          <wp:effectExtent l="19050" t="0" r="2945" b="0"/>
          <wp:docPr id="1" name="Рисунок 2" descr="\\Serv9\_ОБМЕН_\_Отдел контроля и Анализа\!СМИ\ИЗОБРАЖЕНИЯ\Logo FKP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erv9\_ОБМЕН_\_Отдел контроля и Анализа\!СМИ\ИЗОБРАЖЕНИЯ\Logo FKP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40155" cy="7905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A7059D" w:rsidRDefault="00A7059D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059D" w:rsidRDefault="00C50582">
    <w:pPr>
      <w:pStyle w:val="a3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751687" o:spid="_x0000_s2052" type="#_x0000_t75" style="position:absolute;margin-left:0;margin-top:0;width:467.65pt;height:454.85pt;z-index:-251658240;mso-position-horizontal:center;mso-position-horizontal-relative:margin;mso-position-vertical:center;mso-position-vertical-relative:margin" o:allowincell="f">
          <v:imagedata r:id="rId1" o:title="logo_11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alt="👍" style="width:.75pt;height:.75pt;visibility:visible;mso-wrap-style:square" o:bullet="t">
        <v:imagedata r:id="rId1" o:title="👍"/>
      </v:shape>
    </w:pict>
  </w:numPicBullet>
  <w:abstractNum w:abstractNumId="0">
    <w:nsid w:val="59537B36"/>
    <w:multiLevelType w:val="hybridMultilevel"/>
    <w:tmpl w:val="80C0AEC4"/>
    <w:lvl w:ilvl="0" w:tplc="04190011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9C907D3"/>
    <w:multiLevelType w:val="hybridMultilevel"/>
    <w:tmpl w:val="9A5C3848"/>
    <w:lvl w:ilvl="0" w:tplc="2B68C07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7C9122F1"/>
    <w:multiLevelType w:val="hybridMultilevel"/>
    <w:tmpl w:val="810AF6E0"/>
    <w:lvl w:ilvl="0" w:tplc="74E2A31C">
      <w:start w:val="1"/>
      <w:numFmt w:val="bullet"/>
      <w:lvlText w:val=""/>
      <w:lvlPicBulletId w:val="0"/>
      <w:lvlJc w:val="left"/>
      <w:pPr>
        <w:tabs>
          <w:tab w:val="num" w:pos="928"/>
        </w:tabs>
        <w:ind w:left="928" w:hanging="360"/>
      </w:pPr>
      <w:rPr>
        <w:rFonts w:ascii="Symbol" w:hAnsi="Symbol" w:hint="default"/>
      </w:rPr>
    </w:lvl>
    <w:lvl w:ilvl="1" w:tplc="D458AF0A" w:tentative="1">
      <w:start w:val="1"/>
      <w:numFmt w:val="bullet"/>
      <w:lvlText w:val=""/>
      <w:lvlJc w:val="left"/>
      <w:pPr>
        <w:tabs>
          <w:tab w:val="num" w:pos="1648"/>
        </w:tabs>
        <w:ind w:left="1648" w:hanging="360"/>
      </w:pPr>
      <w:rPr>
        <w:rFonts w:ascii="Symbol" w:hAnsi="Symbol" w:hint="default"/>
      </w:rPr>
    </w:lvl>
    <w:lvl w:ilvl="2" w:tplc="9574302C" w:tentative="1">
      <w:start w:val="1"/>
      <w:numFmt w:val="bullet"/>
      <w:lvlText w:val=""/>
      <w:lvlJc w:val="left"/>
      <w:pPr>
        <w:tabs>
          <w:tab w:val="num" w:pos="2368"/>
        </w:tabs>
        <w:ind w:left="2368" w:hanging="360"/>
      </w:pPr>
      <w:rPr>
        <w:rFonts w:ascii="Symbol" w:hAnsi="Symbol" w:hint="default"/>
      </w:rPr>
    </w:lvl>
    <w:lvl w:ilvl="3" w:tplc="8DBE5AC0" w:tentative="1">
      <w:start w:val="1"/>
      <w:numFmt w:val="bullet"/>
      <w:lvlText w:val=""/>
      <w:lvlJc w:val="left"/>
      <w:pPr>
        <w:tabs>
          <w:tab w:val="num" w:pos="3088"/>
        </w:tabs>
        <w:ind w:left="3088" w:hanging="360"/>
      </w:pPr>
      <w:rPr>
        <w:rFonts w:ascii="Symbol" w:hAnsi="Symbol" w:hint="default"/>
      </w:rPr>
    </w:lvl>
    <w:lvl w:ilvl="4" w:tplc="F3BC1B82" w:tentative="1">
      <w:start w:val="1"/>
      <w:numFmt w:val="bullet"/>
      <w:lvlText w:val=""/>
      <w:lvlJc w:val="left"/>
      <w:pPr>
        <w:tabs>
          <w:tab w:val="num" w:pos="3808"/>
        </w:tabs>
        <w:ind w:left="3808" w:hanging="360"/>
      </w:pPr>
      <w:rPr>
        <w:rFonts w:ascii="Symbol" w:hAnsi="Symbol" w:hint="default"/>
      </w:rPr>
    </w:lvl>
    <w:lvl w:ilvl="5" w:tplc="C4D0F090" w:tentative="1">
      <w:start w:val="1"/>
      <w:numFmt w:val="bullet"/>
      <w:lvlText w:val=""/>
      <w:lvlJc w:val="left"/>
      <w:pPr>
        <w:tabs>
          <w:tab w:val="num" w:pos="4528"/>
        </w:tabs>
        <w:ind w:left="4528" w:hanging="360"/>
      </w:pPr>
      <w:rPr>
        <w:rFonts w:ascii="Symbol" w:hAnsi="Symbol" w:hint="default"/>
      </w:rPr>
    </w:lvl>
    <w:lvl w:ilvl="6" w:tplc="4698BD4C" w:tentative="1">
      <w:start w:val="1"/>
      <w:numFmt w:val="bullet"/>
      <w:lvlText w:val=""/>
      <w:lvlJc w:val="left"/>
      <w:pPr>
        <w:tabs>
          <w:tab w:val="num" w:pos="5248"/>
        </w:tabs>
        <w:ind w:left="5248" w:hanging="360"/>
      </w:pPr>
      <w:rPr>
        <w:rFonts w:ascii="Symbol" w:hAnsi="Symbol" w:hint="default"/>
      </w:rPr>
    </w:lvl>
    <w:lvl w:ilvl="7" w:tplc="830CE9C0" w:tentative="1">
      <w:start w:val="1"/>
      <w:numFmt w:val="bullet"/>
      <w:lvlText w:val=""/>
      <w:lvlJc w:val="left"/>
      <w:pPr>
        <w:tabs>
          <w:tab w:val="num" w:pos="5968"/>
        </w:tabs>
        <w:ind w:left="5968" w:hanging="360"/>
      </w:pPr>
      <w:rPr>
        <w:rFonts w:ascii="Symbol" w:hAnsi="Symbol" w:hint="default"/>
      </w:rPr>
    </w:lvl>
    <w:lvl w:ilvl="8" w:tplc="1C622730" w:tentative="1">
      <w:start w:val="1"/>
      <w:numFmt w:val="bullet"/>
      <w:lvlText w:val=""/>
      <w:lvlJc w:val="left"/>
      <w:pPr>
        <w:tabs>
          <w:tab w:val="num" w:pos="6688"/>
        </w:tabs>
        <w:ind w:left="6688" w:hanging="360"/>
      </w:pPr>
      <w:rPr>
        <w:rFonts w:ascii="Symbol" w:hAnsi="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A7059D"/>
    <w:rsid w:val="001205AE"/>
    <w:rsid w:val="00170B0D"/>
    <w:rsid w:val="0018070E"/>
    <w:rsid w:val="00266DBD"/>
    <w:rsid w:val="002866C7"/>
    <w:rsid w:val="002D2570"/>
    <w:rsid w:val="00353854"/>
    <w:rsid w:val="003E6480"/>
    <w:rsid w:val="00405FF5"/>
    <w:rsid w:val="004126C1"/>
    <w:rsid w:val="004D7657"/>
    <w:rsid w:val="00543941"/>
    <w:rsid w:val="00551784"/>
    <w:rsid w:val="005A415E"/>
    <w:rsid w:val="0065402A"/>
    <w:rsid w:val="006C740B"/>
    <w:rsid w:val="007B12EB"/>
    <w:rsid w:val="00806C7D"/>
    <w:rsid w:val="00831045"/>
    <w:rsid w:val="00831792"/>
    <w:rsid w:val="00864160"/>
    <w:rsid w:val="00A26900"/>
    <w:rsid w:val="00A7059D"/>
    <w:rsid w:val="00A8510D"/>
    <w:rsid w:val="00AF5AB7"/>
    <w:rsid w:val="00B94D63"/>
    <w:rsid w:val="00C50582"/>
    <w:rsid w:val="00CB2D01"/>
    <w:rsid w:val="00D82973"/>
    <w:rsid w:val="00E05B96"/>
    <w:rsid w:val="00E41A89"/>
    <w:rsid w:val="00EC76E5"/>
    <w:rsid w:val="00F07814"/>
    <w:rsid w:val="00F5080C"/>
    <w:rsid w:val="00F72F4B"/>
    <w:rsid w:val="00FA7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C76E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4">
    <w:name w:val="Верхний колонтитул Знак"/>
    <w:basedOn w:val="a0"/>
    <w:link w:val="a3"/>
    <w:uiPriority w:val="99"/>
    <w:rsid w:val="00A7059D"/>
  </w:style>
  <w:style w:type="paragraph" w:styleId="a5">
    <w:name w:val="footer"/>
    <w:basedOn w:val="a"/>
    <w:link w:val="a6"/>
    <w:uiPriority w:val="99"/>
    <w:unhideWhenUsed/>
    <w:rsid w:val="00A7059D"/>
    <w:pPr>
      <w:tabs>
        <w:tab w:val="center" w:pos="4677"/>
        <w:tab w:val="right" w:pos="9355"/>
      </w:tabs>
      <w:spacing w:after="0" w:line="240" w:lineRule="auto"/>
    </w:pPr>
    <w:rPr>
      <w:rFonts w:eastAsiaTheme="minorHAnsi"/>
      <w:lang w:eastAsia="en-US"/>
    </w:rPr>
  </w:style>
  <w:style w:type="character" w:customStyle="1" w:styleId="a6">
    <w:name w:val="Нижний колонтитул Знак"/>
    <w:basedOn w:val="a0"/>
    <w:link w:val="a5"/>
    <w:uiPriority w:val="99"/>
    <w:rsid w:val="00A7059D"/>
  </w:style>
  <w:style w:type="paragraph" w:styleId="a7">
    <w:name w:val="Balloon Text"/>
    <w:basedOn w:val="a"/>
    <w:link w:val="a8"/>
    <w:uiPriority w:val="99"/>
    <w:semiHidden/>
    <w:unhideWhenUsed/>
    <w:rsid w:val="00A7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7059D"/>
    <w:rPr>
      <w:rFonts w:ascii="Tahoma" w:hAnsi="Tahoma" w:cs="Tahoma"/>
      <w:sz w:val="16"/>
      <w:szCs w:val="16"/>
    </w:rPr>
  </w:style>
  <w:style w:type="character" w:styleId="a9">
    <w:name w:val="Hyperlink"/>
    <w:basedOn w:val="a0"/>
    <w:uiPriority w:val="99"/>
    <w:unhideWhenUsed/>
    <w:rsid w:val="00EC76E5"/>
    <w:rPr>
      <w:color w:val="0000FF" w:themeColor="hyperlink"/>
      <w:u w:val="single"/>
    </w:rPr>
  </w:style>
  <w:style w:type="paragraph" w:styleId="aa">
    <w:name w:val="List Paragraph"/>
    <w:basedOn w:val="a"/>
    <w:link w:val="ab"/>
    <w:uiPriority w:val="99"/>
    <w:qFormat/>
    <w:rsid w:val="00F5080C"/>
    <w:pPr>
      <w:ind w:left="720"/>
      <w:contextualSpacing/>
    </w:pPr>
    <w:rPr>
      <w:rFonts w:eastAsiaTheme="minorHAnsi"/>
      <w:lang w:eastAsia="en-US"/>
    </w:rPr>
  </w:style>
  <w:style w:type="paragraph" w:customStyle="1" w:styleId="ConsPlusNormal">
    <w:name w:val="ConsPlusNormal"/>
    <w:rsid w:val="00F5080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sz w:val="24"/>
      <w:szCs w:val="24"/>
    </w:rPr>
  </w:style>
  <w:style w:type="paragraph" w:styleId="ac">
    <w:name w:val="Normal (Web)"/>
    <w:basedOn w:val="a"/>
    <w:uiPriority w:val="99"/>
    <w:unhideWhenUsed/>
    <w:rsid w:val="00F508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b">
    <w:name w:val="Абзац списка Знак"/>
    <w:basedOn w:val="a0"/>
    <w:link w:val="aa"/>
    <w:uiPriority w:val="99"/>
    <w:locked/>
    <w:rsid w:val="00F5080C"/>
  </w:style>
  <w:style w:type="paragraph" w:styleId="3">
    <w:name w:val="Body Text Indent 3"/>
    <w:basedOn w:val="a"/>
    <w:link w:val="30"/>
    <w:rsid w:val="00E41A89"/>
    <w:pPr>
      <w:spacing w:after="0" w:line="240" w:lineRule="auto"/>
      <w:ind w:firstLine="900"/>
      <w:jc w:val="both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Основной текст с отступом 3 Знак"/>
    <w:basedOn w:val="a0"/>
    <w:link w:val="3"/>
    <w:rsid w:val="00E41A89"/>
    <w:rPr>
      <w:rFonts w:ascii="Times New Roman" w:eastAsia="Times New Roman" w:hAnsi="Times New Roman" w:cs="Times New Roman"/>
      <w:sz w:val="28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mfc-nso.ru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rosreestr.ru/site/ur/poluchit-svedeniya-iz-egrn/?price" TargetMode="Externa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press@54.kadastr.ru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3059810-ED02-40C4-B91E-0DF7A76B82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</TotalTime>
  <Pages>2</Pages>
  <Words>460</Words>
  <Characters>2622</Characters>
  <Application>Microsoft Office Word</Application>
  <DocSecurity>0</DocSecurity>
  <Lines>21</Lines>
  <Paragraphs>6</Paragraphs>
  <ScaleCrop>false</ScaleCrop>
  <Company/>
  <LinksUpToDate>false</LinksUpToDate>
  <CharactersWithSpaces>3076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Korotich_SA</dc:creator>
  <cp:keywords/>
  <dc:description/>
  <cp:lastModifiedBy>Кривощёкова Анна Александровна</cp:lastModifiedBy>
  <cp:revision>36</cp:revision>
  <dcterms:created xsi:type="dcterms:W3CDTF">2016-04-07T02:40:00Z</dcterms:created>
  <dcterms:modified xsi:type="dcterms:W3CDTF">2017-07-06T04:57:00Z</dcterms:modified>
</cp:coreProperties>
</file>